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28"/>
          <w:szCs w:val="28"/>
        </w:rPr>
      </w:pPr>
      <w:r>
        <w:rPr>
          <w:rFonts w:hint="eastAsia" w:ascii="黑体" w:hAnsi="黑体" w:eastAsia="黑体" w:cs="黑体"/>
          <w:b/>
          <w:sz w:val="28"/>
          <w:szCs w:val="28"/>
        </w:rPr>
        <w:t>复旦大学数学学科强基计划进退、阶段性考核及转段学业考核办法</w:t>
      </w:r>
    </w:p>
    <w:p>
      <w:pPr>
        <w:jc w:val="right"/>
        <w:rPr>
          <w:rFonts w:hint="eastAsia" w:ascii="黑体" w:hAnsi="黑体" w:eastAsia="黑体" w:cs="黑体"/>
          <w:b/>
          <w:sz w:val="18"/>
          <w:szCs w:val="18"/>
        </w:rPr>
      </w:pPr>
      <w:r>
        <w:rPr>
          <w:rFonts w:hint="eastAsia" w:ascii="黑体" w:hAnsi="黑体" w:eastAsia="黑体" w:cs="黑体"/>
          <w:b/>
          <w:sz w:val="18"/>
          <w:szCs w:val="18"/>
        </w:rPr>
        <w:t>（</w:t>
      </w:r>
      <w:r>
        <w:rPr>
          <w:rFonts w:hint="eastAsia" w:ascii="黑体" w:hAnsi="黑体" w:eastAsia="黑体" w:cs="黑体"/>
          <w:b/>
          <w:sz w:val="18"/>
          <w:szCs w:val="18"/>
          <w:lang w:val="en-US" w:eastAsia="zh-CN"/>
        </w:rPr>
        <w:t>2023</w:t>
      </w:r>
      <w:r>
        <w:rPr>
          <w:rFonts w:hint="eastAsia" w:ascii="黑体" w:hAnsi="黑体" w:eastAsia="黑体" w:cs="黑体"/>
          <w:b/>
          <w:sz w:val="18"/>
          <w:szCs w:val="18"/>
        </w:rPr>
        <w:t>年</w:t>
      </w:r>
      <w:r>
        <w:rPr>
          <w:rFonts w:hint="eastAsia" w:ascii="黑体" w:hAnsi="黑体" w:eastAsia="黑体" w:cs="黑体"/>
          <w:b/>
          <w:sz w:val="18"/>
          <w:szCs w:val="18"/>
          <w:lang w:val="en-US" w:eastAsia="zh-CN"/>
        </w:rPr>
        <w:t>3</w:t>
      </w:r>
      <w:r>
        <w:rPr>
          <w:rFonts w:hint="eastAsia" w:ascii="黑体" w:hAnsi="黑体" w:eastAsia="黑体" w:cs="黑体"/>
          <w:b/>
          <w:sz w:val="18"/>
          <w:szCs w:val="18"/>
        </w:rPr>
        <w:t>月</w:t>
      </w:r>
      <w:r>
        <w:rPr>
          <w:rFonts w:hint="eastAsia" w:ascii="黑体" w:hAnsi="黑体" w:eastAsia="黑体" w:cs="黑体"/>
          <w:b/>
          <w:sz w:val="18"/>
          <w:szCs w:val="18"/>
          <w:lang w:val="en-US" w:eastAsia="zh-CN"/>
        </w:rPr>
        <w:t>30</w:t>
      </w:r>
      <w:r>
        <w:rPr>
          <w:rFonts w:hint="eastAsia" w:ascii="黑体" w:hAnsi="黑体" w:eastAsia="黑体" w:cs="黑体"/>
          <w:b/>
          <w:sz w:val="18"/>
          <w:szCs w:val="18"/>
        </w:rPr>
        <w:t>日数学科学学院教学指导委员会通过）</w:t>
      </w:r>
    </w:p>
    <w:p>
      <w:pPr>
        <w:jc w:val="right"/>
        <w:rPr>
          <w:rFonts w:hint="default" w:ascii="黑体" w:hAnsi="黑体" w:eastAsia="黑体" w:cs="黑体"/>
          <w:b/>
          <w:sz w:val="18"/>
          <w:szCs w:val="18"/>
          <w:lang w:val="en-US" w:eastAsia="zh-CN"/>
        </w:rPr>
      </w:pP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2023年9月18日院教指委通过修订）</w:t>
      </w:r>
    </w:p>
    <w:p/>
    <w:p>
      <w:pPr>
        <w:ind w:firstLine="420"/>
        <w:rPr>
          <w:rFonts w:hint="eastAsia" w:ascii="仿宋" w:hAnsi="仿宋" w:eastAsia="仿宋" w:cs="仿宋"/>
          <w:sz w:val="28"/>
          <w:szCs w:val="28"/>
        </w:rPr>
      </w:pPr>
      <w:r>
        <w:rPr>
          <w:rFonts w:hint="eastAsia" w:ascii="仿宋" w:hAnsi="仿宋" w:eastAsia="仿宋" w:cs="仿宋"/>
          <w:sz w:val="28"/>
          <w:szCs w:val="28"/>
        </w:rPr>
        <w:t>为进一步加强对数学学科强基计划学生的管理，更好地提升拔尖人才培养质量，根据教育部与学校有关文件精神，结合本院实际情况，制定本办法。</w:t>
      </w:r>
    </w:p>
    <w:p>
      <w:pPr>
        <w:ind w:firstLine="420"/>
      </w:pPr>
    </w:p>
    <w:p>
      <w:pPr>
        <w:pStyle w:val="5"/>
        <w:numPr>
          <w:ilvl w:val="0"/>
          <w:numId w:val="0"/>
        </w:numPr>
        <w:ind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一、进退机制</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通过“强基计划”录取的学生自动获得强基学生身份。若强基计划有名额空缺，学生也可以在大一暑假、大二寒假、大二暑假结束后，申请加入强基计划。强基计划的空余名额</w:t>
      </w:r>
      <w:r>
        <w:rPr>
          <w:rFonts w:hint="eastAsia" w:ascii="仿宋" w:hAnsi="仿宋" w:eastAsia="仿宋" w:cs="仿宋"/>
          <w:sz w:val="28"/>
          <w:szCs w:val="28"/>
          <w:lang w:val="en-US" w:eastAsia="zh-CN"/>
        </w:rPr>
        <w:t>优先</w:t>
      </w:r>
      <w:r>
        <w:rPr>
          <w:rFonts w:hint="eastAsia" w:ascii="仿宋" w:hAnsi="仿宋" w:eastAsia="仿宋" w:cs="仿宋"/>
          <w:sz w:val="28"/>
          <w:szCs w:val="28"/>
        </w:rPr>
        <w:t>从同年级“数学英才试验班”中进行选拔补录。</w:t>
      </w:r>
    </w:p>
    <w:p>
      <w:pPr>
        <w:pStyle w:val="5"/>
        <w:numPr>
          <w:ilvl w:val="0"/>
          <w:numId w:val="0"/>
        </w:numPr>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强基学生基于个人原因可在大一寒假后的任何时间提出退出强基计划；未参加阶段性考核或考核不合格者，视为退出强基计划；未参加转段学业考核或考核不合格者，视为退出强基计划。退出强基计划自动失去强基学生身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不再具有转专业和申请免试攻读研究生资格</w:t>
      </w:r>
      <w:r>
        <w:rPr>
          <w:rFonts w:hint="eastAsia" w:ascii="仿宋" w:hAnsi="仿宋" w:eastAsia="仿宋" w:cs="仿宋"/>
          <w:sz w:val="28"/>
          <w:szCs w:val="28"/>
          <w:highlight w:val="none"/>
        </w:rPr>
        <w:t>。</w:t>
      </w:r>
    </w:p>
    <w:p>
      <w:pPr>
        <w:pStyle w:val="5"/>
        <w:numPr>
          <w:ilvl w:val="0"/>
          <w:numId w:val="0"/>
        </w:numPr>
        <w:ind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二、阶段性考核</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强基学生在大二暑假结束后进行阶段性考核。学院将对学生第一学年与第二学年的学业情况与综合发展能力进行评估。截止到大二暑假，强基学生应当已获得不少于</w:t>
      </w:r>
      <w:r>
        <w:rPr>
          <w:rFonts w:hint="eastAsia" w:ascii="仿宋" w:hAnsi="仿宋" w:eastAsia="仿宋" w:cs="仿宋"/>
          <w:sz w:val="28"/>
          <w:szCs w:val="28"/>
          <w:lang w:val="en-US" w:eastAsia="zh-CN"/>
        </w:rPr>
        <w:t>该年级培养方案要求总学分数的50%</w:t>
      </w:r>
      <w:r>
        <w:rPr>
          <w:rFonts w:hint="eastAsia" w:ascii="仿宋" w:hAnsi="仿宋" w:eastAsia="仿宋" w:cs="仿宋"/>
          <w:sz w:val="28"/>
          <w:szCs w:val="28"/>
          <w:lang w:eastAsia="zh-CN"/>
        </w:rPr>
        <w:t>，</w:t>
      </w:r>
      <w:r>
        <w:rPr>
          <w:rFonts w:hint="eastAsia" w:ascii="仿宋" w:hAnsi="仿宋" w:eastAsia="仿宋" w:cs="仿宋"/>
          <w:sz w:val="28"/>
          <w:szCs w:val="28"/>
        </w:rPr>
        <w:t>已完成以下专业必修课程</w:t>
      </w:r>
      <w:r>
        <w:rPr>
          <w:rFonts w:hint="eastAsia" w:ascii="仿宋" w:hAnsi="仿宋" w:eastAsia="仿宋" w:cs="仿宋"/>
          <w:sz w:val="28"/>
          <w:szCs w:val="28"/>
          <w:lang w:val="en-US" w:eastAsia="zh-CN"/>
        </w:rPr>
        <w:t>且</w:t>
      </w:r>
      <w:r>
        <w:rPr>
          <w:rFonts w:hint="eastAsia" w:ascii="仿宋" w:hAnsi="仿宋" w:eastAsia="仿宋" w:cs="仿宋"/>
          <w:sz w:val="28"/>
          <w:szCs w:val="28"/>
        </w:rPr>
        <w:t>至少</w:t>
      </w:r>
      <w:r>
        <w:rPr>
          <w:rFonts w:hint="eastAsia" w:ascii="仿宋" w:hAnsi="仿宋" w:eastAsia="仿宋" w:cs="仿宋"/>
          <w:sz w:val="28"/>
          <w:szCs w:val="28"/>
          <w:lang w:val="en-US" w:eastAsia="zh-CN"/>
        </w:rPr>
        <w:t>3</w:t>
      </w:r>
      <w:r>
        <w:rPr>
          <w:rFonts w:hint="eastAsia" w:ascii="仿宋" w:hAnsi="仿宋" w:eastAsia="仿宋" w:cs="仿宋"/>
          <w:sz w:val="28"/>
          <w:szCs w:val="28"/>
        </w:rPr>
        <w:t>门</w:t>
      </w:r>
      <w:r>
        <w:rPr>
          <w:rFonts w:hint="eastAsia" w:ascii="仿宋" w:hAnsi="仿宋" w:eastAsia="仿宋" w:cs="仿宋"/>
          <w:sz w:val="28"/>
          <w:szCs w:val="28"/>
          <w:lang w:val="en-US" w:eastAsia="zh-CN"/>
        </w:rPr>
        <w:t>限定必修</w:t>
      </w:r>
      <w:r>
        <w:rPr>
          <w:rFonts w:hint="eastAsia" w:ascii="仿宋" w:hAnsi="仿宋" w:eastAsia="仿宋" w:cs="仿宋"/>
          <w:sz w:val="28"/>
          <w:szCs w:val="28"/>
        </w:rPr>
        <w:t>课程</w:t>
      </w:r>
      <w:r>
        <w:rPr>
          <w:rFonts w:hint="eastAsia" w:ascii="仿宋" w:hAnsi="仿宋" w:eastAsia="仿宋" w:cs="仿宋"/>
          <w:sz w:val="28"/>
          <w:szCs w:val="28"/>
          <w:lang w:eastAsia="zh-CN"/>
        </w:rPr>
        <w:t>。</w:t>
      </w:r>
      <w:r>
        <w:rPr>
          <w:rFonts w:hint="eastAsia" w:ascii="仿宋" w:hAnsi="仿宋" w:eastAsia="仿宋" w:cs="仿宋"/>
          <w:sz w:val="28"/>
          <w:szCs w:val="28"/>
        </w:rPr>
        <w:t>原则上，所有已修课程平均绩点应当不低于3.0。</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MATH130154数学分析I（英才班）；</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MATH120011高等代数I；</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MATH130152经典数学思想I；</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MATH130155数学分析II（英才班）；</w:t>
      </w:r>
    </w:p>
    <w:p>
      <w:pPr>
        <w:pStyle w:val="5"/>
        <w:numPr>
          <w:ilvl w:val="0"/>
          <w:numId w:val="0"/>
        </w:numPr>
        <w:ind w:leftChars="0"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MATH130002高等代数II</w:t>
      </w:r>
      <w:r>
        <w:rPr>
          <w:rFonts w:hint="eastAsia" w:ascii="仿宋" w:hAnsi="仿宋" w:eastAsia="仿宋" w:cs="仿宋"/>
          <w:sz w:val="28"/>
          <w:szCs w:val="28"/>
          <w:lang w:eastAsia="zh-CN"/>
        </w:rPr>
        <w:t>；</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MATH130156经典数学思想II；</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MATH130113几何拓扑选讲；</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MATH130005抽象代数。</w:t>
      </w:r>
    </w:p>
    <w:p>
      <w:pPr>
        <w:pStyle w:val="5"/>
        <w:numPr>
          <w:ilvl w:val="0"/>
          <w:numId w:val="0"/>
        </w:numPr>
        <w:ind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三、转段学业考核</w:t>
      </w:r>
    </w:p>
    <w:p>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强基学生在大三寒假结束后进行转段学业考核。学院将对学生第一学年、第二学年及第三学年第一学期的学业情况与综合发展能力进行评估。截止到大三寒假，强基学生应当已获得不少于</w:t>
      </w:r>
      <w:r>
        <w:rPr>
          <w:rFonts w:hint="eastAsia" w:ascii="仿宋" w:hAnsi="仿宋" w:eastAsia="仿宋" w:cs="仿宋"/>
          <w:sz w:val="28"/>
          <w:szCs w:val="28"/>
          <w:lang w:val="en-US" w:eastAsia="zh-CN"/>
        </w:rPr>
        <w:t>该年级培养方案要求总学分数的60%</w:t>
      </w:r>
      <w:r>
        <w:rPr>
          <w:rFonts w:hint="eastAsia" w:ascii="仿宋" w:hAnsi="仿宋" w:eastAsia="仿宋" w:cs="仿宋"/>
          <w:sz w:val="28"/>
          <w:szCs w:val="28"/>
        </w:rPr>
        <w:t>，已完成除毕业论文之外所有专业必修课</w:t>
      </w:r>
      <w:r>
        <w:rPr>
          <w:rFonts w:hint="eastAsia" w:ascii="仿宋" w:hAnsi="仿宋" w:eastAsia="仿宋" w:cs="仿宋"/>
          <w:sz w:val="28"/>
          <w:szCs w:val="28"/>
          <w:lang w:val="en-US" w:eastAsia="zh-CN"/>
        </w:rPr>
        <w:t>且</w:t>
      </w:r>
      <w:r>
        <w:rPr>
          <w:rFonts w:hint="eastAsia" w:ascii="仿宋" w:hAnsi="仿宋" w:eastAsia="仿宋" w:cs="仿宋"/>
          <w:sz w:val="28"/>
          <w:szCs w:val="28"/>
        </w:rPr>
        <w:t>至少6门</w:t>
      </w:r>
      <w:r>
        <w:rPr>
          <w:rFonts w:hint="eastAsia" w:ascii="仿宋" w:hAnsi="仿宋" w:eastAsia="仿宋" w:cs="仿宋"/>
          <w:sz w:val="28"/>
          <w:szCs w:val="28"/>
          <w:lang w:val="en-US" w:eastAsia="zh-CN"/>
        </w:rPr>
        <w:t>限定必修</w:t>
      </w:r>
      <w:r>
        <w:rPr>
          <w:rFonts w:hint="eastAsia" w:ascii="仿宋" w:hAnsi="仿宋" w:eastAsia="仿宋" w:cs="仿宋"/>
          <w:sz w:val="28"/>
          <w:szCs w:val="28"/>
        </w:rPr>
        <w:t>课程。原则上，所有已修课程平均绩点应当不低于3.0。</w:t>
      </w:r>
      <w:bookmarkStart w:id="0" w:name="_GoBack"/>
      <w:bookmarkEnd w:id="0"/>
    </w:p>
    <w:p>
      <w:pPr>
        <w:pStyle w:val="5"/>
        <w:numPr>
          <w:ilvl w:val="0"/>
          <w:numId w:val="0"/>
        </w:numPr>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四、学分认定</w:t>
      </w:r>
    </w:p>
    <w:p>
      <w:pPr>
        <w:pStyle w:val="5"/>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强基计划采用“数学英才试验班”的教学培养方案，它也是强基计划阶段性考核、转段学业考核与毕业资格审查的依据。通过选拔补录进入强基计划的学生在进入强基计划之前已修课程与“数学英才试验班”培养方案不一致时，按照“一人一策”的原则，学院将按照相关规定进行学分认定。</w:t>
      </w:r>
    </w:p>
    <w:p>
      <w:pPr>
        <w:pStyle w:val="5"/>
        <w:numPr>
          <w:ilvl w:val="0"/>
          <w:numId w:val="0"/>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退出强基</w:t>
      </w:r>
      <w:r>
        <w:rPr>
          <w:rFonts w:hint="eastAsia" w:ascii="仿宋" w:hAnsi="仿宋" w:eastAsia="仿宋" w:cs="仿宋"/>
          <w:sz w:val="28"/>
          <w:szCs w:val="28"/>
          <w:lang w:eastAsia="zh-CN"/>
        </w:rPr>
        <w:t>计划</w:t>
      </w:r>
      <w:r>
        <w:rPr>
          <w:rFonts w:hint="eastAsia" w:ascii="仿宋" w:hAnsi="仿宋" w:eastAsia="仿宋" w:cs="仿宋"/>
          <w:sz w:val="28"/>
          <w:szCs w:val="28"/>
        </w:rPr>
        <w:t>学分认定</w:t>
      </w:r>
      <w:r>
        <w:rPr>
          <w:rFonts w:hint="eastAsia" w:ascii="仿宋" w:hAnsi="仿宋" w:eastAsia="仿宋" w:cs="仿宋"/>
          <w:sz w:val="28"/>
          <w:szCs w:val="28"/>
          <w:lang w:eastAsia="zh-CN"/>
        </w:rPr>
        <w:t>：</w:t>
      </w:r>
    </w:p>
    <w:p>
      <w:pPr>
        <w:pStyle w:val="5"/>
        <w:numPr>
          <w:ilvl w:val="0"/>
          <w:numId w:val="0"/>
        </w:numPr>
        <w:ind w:firstLine="560" w:firstLineChars="200"/>
        <w:rPr>
          <w:rFonts w:hint="eastAsia" w:ascii="仿宋" w:hAnsi="仿宋" w:eastAsia="仿宋" w:cs="仿宋"/>
          <w:bCs/>
          <w:sz w:val="28"/>
          <w:szCs w:val="28"/>
        </w:rPr>
      </w:pPr>
      <w:r>
        <w:rPr>
          <w:rFonts w:hint="eastAsia" w:ascii="仿宋" w:hAnsi="仿宋" w:eastAsia="仿宋" w:cs="仿宋"/>
          <w:sz w:val="28"/>
          <w:szCs w:val="28"/>
          <w:lang w:val="en-US" w:eastAsia="zh-CN"/>
        </w:rPr>
        <w:t>1）</w:t>
      </w:r>
      <w:r>
        <w:rPr>
          <w:rFonts w:hint="eastAsia" w:ascii="仿宋" w:hAnsi="仿宋" w:eastAsia="仿宋" w:cs="仿宋"/>
          <w:bCs/>
          <w:sz w:val="28"/>
          <w:szCs w:val="28"/>
        </w:rPr>
        <w:t>数学分析I（英才班）+数学分析II（英才班）可以替换数学分析AI+AII+III，学分不足部分用任意选修学分补足；</w:t>
      </w:r>
    </w:p>
    <w:p>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2）经典数学思想I、经典数学思想II认定为专业进阶学分；</w:t>
      </w:r>
    </w:p>
    <w:p>
      <w:pPr>
        <w:pStyle w:val="5"/>
        <w:numPr>
          <w:ilvl w:val="0"/>
          <w:numId w:val="0"/>
        </w:numPr>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数学分析I（英才班）+</w:t>
      </w:r>
      <w:r>
        <w:rPr>
          <w:rFonts w:hint="eastAsia" w:ascii="仿宋" w:hAnsi="仿宋" w:eastAsia="仿宋" w:cs="仿宋"/>
          <w:bCs/>
          <w:sz w:val="28"/>
          <w:szCs w:val="28"/>
          <w:lang w:val="en-US" w:eastAsia="zh-CN"/>
        </w:rPr>
        <w:t>经典数学思想I可以替换</w:t>
      </w:r>
      <w:r>
        <w:rPr>
          <w:rFonts w:hint="eastAsia" w:ascii="仿宋" w:hAnsi="仿宋" w:eastAsia="仿宋" w:cs="仿宋"/>
          <w:bCs/>
          <w:sz w:val="28"/>
          <w:szCs w:val="28"/>
        </w:rPr>
        <w:t>数学分析AI</w:t>
      </w:r>
      <w:r>
        <w:rPr>
          <w:rFonts w:hint="eastAsia" w:ascii="仿宋" w:hAnsi="仿宋" w:eastAsia="仿宋" w:cs="仿宋"/>
          <w:bCs/>
          <w:sz w:val="28"/>
          <w:szCs w:val="28"/>
          <w:lang w:val="en-US" w:eastAsia="zh-CN"/>
        </w:rPr>
        <w:t>+解析几何；</w:t>
      </w:r>
    </w:p>
    <w:p>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4）几何拓扑选讲、微分几何，可以认定为解析几何、拓扑学、微分几何、拓扑学II或者专业进阶学分；</w:t>
      </w:r>
    </w:p>
    <w:p>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5）大学物理可以补修，或由学院教指委认可的相关物理或力学课程替代。</w:t>
      </w:r>
    </w:p>
    <w:p>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3、学分认定只作为学生毕业资格审核的依据，成绩记录不作任何调整。</w:t>
      </w:r>
    </w:p>
    <w:p>
      <w:pPr>
        <w:pStyle w:val="5"/>
        <w:numPr>
          <w:ilvl w:val="0"/>
          <w:numId w:val="0"/>
        </w:numPr>
        <w:ind w:firstLine="560" w:firstLineChars="200"/>
        <w:rPr>
          <w:rFonts w:hint="eastAsia" w:ascii="仿宋" w:hAnsi="仿宋" w:eastAsia="仿宋" w:cs="仿宋"/>
          <w:bCs/>
          <w:sz w:val="28"/>
          <w:szCs w:val="28"/>
          <w:lang w:val="en-US" w:eastAsia="zh-CN"/>
        </w:rPr>
      </w:pPr>
    </w:p>
    <w:p>
      <w:pPr>
        <w:spacing w:line="600" w:lineRule="exact"/>
        <w:ind w:firstLine="42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附：强基计划退出申请表</w:t>
      </w:r>
    </w:p>
    <w:p>
      <w:pPr>
        <w:spacing w:line="560" w:lineRule="exact"/>
        <w:ind w:firstLine="420"/>
        <w:rPr>
          <w:rFonts w:ascii="FangSong_GB2312" w:hAnsi="FangSong_GB2312" w:eastAsia="FangSong_GB2312" w:cs="FangSong_GB2312"/>
          <w:sz w:val="30"/>
          <w:szCs w:val="30"/>
        </w:rPr>
      </w:pPr>
    </w:p>
    <w:p>
      <w:pPr>
        <w:spacing w:line="600" w:lineRule="exact"/>
        <w:ind w:firstLine="420"/>
        <w:jc w:val="right"/>
        <w:rPr>
          <w:rFonts w:ascii="方正仿宋_GB2312" w:hAnsi="方正仿宋_GB2312" w:eastAsia="方正仿宋_GB2312" w:cs="方正仿宋_GB2312"/>
          <w:sz w:val="30"/>
          <w:szCs w:val="30"/>
        </w:rPr>
      </w:pPr>
    </w:p>
    <w:p>
      <w:pPr>
        <w:pStyle w:val="5"/>
        <w:numPr>
          <w:ilvl w:val="0"/>
          <w:numId w:val="0"/>
        </w:numPr>
        <w:ind w:firstLine="560" w:firstLineChars="200"/>
        <w:rPr>
          <w:rFonts w:hint="eastAsia" w:ascii="仿宋" w:hAnsi="仿宋" w:eastAsia="仿宋" w:cs="仿宋"/>
          <w:bCs/>
          <w:sz w:val="28"/>
          <w:szCs w:val="28"/>
          <w:lang w:val="en-US" w:eastAsia="zh-CN"/>
        </w:rPr>
      </w:pPr>
    </w:p>
    <w:p>
      <w:pPr>
        <w:pStyle w:val="5"/>
        <w:numPr>
          <w:ilvl w:val="0"/>
          <w:numId w:val="0"/>
        </w:numPr>
        <w:ind w:firstLine="560" w:firstLineChars="200"/>
        <w:rPr>
          <w:rFonts w:hint="default" w:ascii="仿宋" w:hAnsi="仿宋" w:eastAsia="仿宋" w:cs="仿宋"/>
          <w:bCs/>
          <w:sz w:val="28"/>
          <w:szCs w:val="28"/>
          <w:lang w:val="en-US" w:eastAsia="zh-CN"/>
        </w:rPr>
      </w:pPr>
    </w:p>
    <w:p>
      <w:pPr>
        <w:pStyle w:val="5"/>
        <w:numPr>
          <w:ilvl w:val="0"/>
          <w:numId w:val="0"/>
        </w:numPr>
        <w:ind w:firstLine="560" w:firstLineChars="200"/>
        <w:rPr>
          <w:rFonts w:hint="default" w:ascii="仿宋" w:hAnsi="仿宋" w:eastAsia="仿宋" w:cs="仿宋"/>
          <w:bCs/>
          <w:sz w:val="28"/>
          <w:szCs w:val="28"/>
          <w:lang w:val="en-US" w:eastAsia="zh-CN"/>
        </w:rPr>
      </w:pPr>
    </w:p>
    <w:p>
      <w:pPr>
        <w:pStyle w:val="5"/>
        <w:numPr>
          <w:ilvl w:val="0"/>
          <w:numId w:val="0"/>
        </w:numPr>
        <w:ind w:firstLine="560" w:firstLineChars="200"/>
        <w:rPr>
          <w:rFonts w:hint="default" w:ascii="仿宋" w:hAnsi="仿宋" w:eastAsia="仿宋" w:cs="仿宋"/>
          <w:bCs/>
          <w:sz w:val="28"/>
          <w:szCs w:val="28"/>
          <w:lang w:val="en-US" w:eastAsia="zh-CN"/>
        </w:rPr>
      </w:pPr>
    </w:p>
    <w:p>
      <w:pPr>
        <w:pStyle w:val="5"/>
        <w:numPr>
          <w:ilvl w:val="0"/>
          <w:numId w:val="0"/>
        </w:numPr>
        <w:ind w:firstLine="560" w:firstLineChars="200"/>
        <w:rPr>
          <w:rFonts w:hint="default" w:ascii="仿宋" w:hAnsi="仿宋" w:eastAsia="仿宋" w:cs="仿宋"/>
          <w:bCs/>
          <w:sz w:val="28"/>
          <w:szCs w:val="28"/>
          <w:lang w:val="en-US" w:eastAsia="zh-CN"/>
        </w:rPr>
      </w:pPr>
    </w:p>
    <w:p>
      <w:pPr>
        <w:pStyle w:val="5"/>
        <w:numPr>
          <w:ilvl w:val="0"/>
          <w:numId w:val="0"/>
        </w:numPr>
        <w:ind w:firstLine="560" w:firstLineChars="200"/>
        <w:rPr>
          <w:rFonts w:hint="default" w:ascii="仿宋" w:hAnsi="仿宋" w:eastAsia="仿宋" w:cs="仿宋"/>
          <w:bCs/>
          <w:sz w:val="28"/>
          <w:szCs w:val="28"/>
          <w:lang w:val="en-US" w:eastAsia="zh-CN"/>
        </w:rPr>
      </w:pPr>
    </w:p>
    <w:p>
      <w:pPr>
        <w:pStyle w:val="5"/>
        <w:numPr>
          <w:ilvl w:val="0"/>
          <w:numId w:val="0"/>
        </w:numPr>
        <w:ind w:firstLine="0" w:firstLineChars="0"/>
        <w:rPr>
          <w:rFonts w:hint="default" w:ascii="仿宋" w:hAnsi="仿宋" w:eastAsia="仿宋" w:cs="仿宋"/>
          <w:bCs/>
          <w:sz w:val="28"/>
          <w:szCs w:val="28"/>
          <w:lang w:val="en-US" w:eastAsia="zh-CN"/>
        </w:rPr>
      </w:pPr>
    </w:p>
    <w:p>
      <w:pPr>
        <w:pStyle w:val="2"/>
        <w:spacing w:before="100" w:after="312" w:afterLines="100" w:line="520" w:lineRule="exact"/>
        <w:jc w:val="center"/>
        <w:rPr>
          <w:rFonts w:hint="default" w:ascii="仿宋" w:hAnsi="仿宋" w:eastAsia="仿宋" w:cs="仿宋"/>
          <w:bCs/>
          <w:sz w:val="28"/>
          <w:szCs w:val="28"/>
          <w:lang w:val="en-US" w:eastAsia="zh-CN"/>
        </w:rPr>
      </w:pPr>
      <w:r>
        <w:rPr>
          <w:rFonts w:hint="eastAsia" w:ascii="方正小标宋简体" w:hAnsi="方正小标宋简体" w:eastAsia="方正小标宋简体" w:cs="方正小标宋简体"/>
          <w:bCs/>
          <w:sz w:val="36"/>
          <w:szCs w:val="36"/>
        </w:rPr>
        <w:t>数学强基计划退出申请表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8"/>
        <w:gridCol w:w="2081"/>
        <w:gridCol w:w="1261"/>
        <w:gridCol w:w="2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038" w:type="dxa"/>
            <w:vAlign w:val="center"/>
          </w:tcPr>
          <w:p>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学号</w:t>
            </w:r>
          </w:p>
        </w:tc>
        <w:tc>
          <w:tcPr>
            <w:tcW w:w="2081" w:type="dxa"/>
            <w:vAlign w:val="center"/>
          </w:tcPr>
          <w:p>
            <w:pPr>
              <w:widowControl/>
              <w:spacing w:line="360" w:lineRule="auto"/>
              <w:jc w:val="center"/>
              <w:rPr>
                <w:rFonts w:ascii="仿宋" w:hAnsi="仿宋" w:eastAsia="仿宋" w:cs="仿宋"/>
                <w:kern w:val="0"/>
                <w:sz w:val="24"/>
                <w:szCs w:val="24"/>
              </w:rPr>
            </w:pPr>
          </w:p>
        </w:tc>
        <w:tc>
          <w:tcPr>
            <w:tcW w:w="1261" w:type="dxa"/>
            <w:vAlign w:val="center"/>
          </w:tcPr>
          <w:p>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姓名</w:t>
            </w:r>
          </w:p>
        </w:tc>
        <w:tc>
          <w:tcPr>
            <w:tcW w:w="2998" w:type="dxa"/>
            <w:vAlign w:val="center"/>
          </w:tcPr>
          <w:p>
            <w:pPr>
              <w:widowControl/>
              <w:spacing w:line="360" w:lineRule="auto"/>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2038" w:type="dxa"/>
            <w:vAlign w:val="center"/>
          </w:tcPr>
          <w:p>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手机号</w:t>
            </w:r>
          </w:p>
        </w:tc>
        <w:tc>
          <w:tcPr>
            <w:tcW w:w="2081" w:type="dxa"/>
            <w:vAlign w:val="center"/>
          </w:tcPr>
          <w:p>
            <w:pPr>
              <w:widowControl/>
              <w:spacing w:line="360" w:lineRule="auto"/>
              <w:jc w:val="center"/>
              <w:rPr>
                <w:rFonts w:ascii="仿宋" w:hAnsi="仿宋" w:eastAsia="仿宋" w:cs="仿宋"/>
                <w:kern w:val="0"/>
                <w:sz w:val="24"/>
                <w:szCs w:val="24"/>
              </w:rPr>
            </w:pPr>
          </w:p>
        </w:tc>
        <w:tc>
          <w:tcPr>
            <w:tcW w:w="1261" w:type="dxa"/>
            <w:vAlign w:val="center"/>
          </w:tcPr>
          <w:p>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邮箱地址</w:t>
            </w:r>
          </w:p>
        </w:tc>
        <w:tc>
          <w:tcPr>
            <w:tcW w:w="2998" w:type="dxa"/>
            <w:vAlign w:val="center"/>
          </w:tcPr>
          <w:p>
            <w:pPr>
              <w:widowControl/>
              <w:spacing w:line="360" w:lineRule="auto"/>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9" w:hRule="atLeast"/>
          <w:jc w:val="center"/>
        </w:trPr>
        <w:tc>
          <w:tcPr>
            <w:tcW w:w="2038" w:type="dxa"/>
            <w:vAlign w:val="center"/>
          </w:tcPr>
          <w:p>
            <w:pPr>
              <w:widowControl/>
              <w:spacing w:line="360" w:lineRule="auto"/>
              <w:jc w:val="center"/>
              <w:rPr>
                <w:rFonts w:ascii="仿宋" w:hAnsi="仿宋" w:eastAsia="仿宋" w:cs="仿宋"/>
                <w:kern w:val="0"/>
                <w:sz w:val="24"/>
                <w:szCs w:val="24"/>
              </w:rPr>
            </w:pPr>
          </w:p>
          <w:p>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申请理由</w:t>
            </w:r>
          </w:p>
        </w:tc>
        <w:tc>
          <w:tcPr>
            <w:tcW w:w="6340" w:type="dxa"/>
            <w:gridSpan w:val="3"/>
          </w:tcPr>
          <w:p>
            <w:pPr>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因...原因，</w:t>
            </w:r>
            <w:r>
              <w:rPr>
                <w:rFonts w:hint="eastAsia" w:ascii="仿宋" w:hAnsi="仿宋" w:eastAsia="仿宋" w:cs="仿宋"/>
                <w:sz w:val="21"/>
                <w:szCs w:val="21"/>
              </w:rPr>
              <w:t>经慎重考虑</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我</w:t>
            </w:r>
            <w:r>
              <w:rPr>
                <w:rFonts w:hint="eastAsia" w:ascii="仿宋" w:hAnsi="仿宋" w:eastAsia="仿宋" w:cs="仿宋"/>
                <w:sz w:val="21"/>
                <w:szCs w:val="21"/>
              </w:rPr>
              <w:t>决定申请退出强基计划，转入数学与应用数学专业平行班继续修读。</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我明白退出强基计划后不再具有转专业和申请免试攻读研究生资格，本人完全知晓并同意。</w:t>
            </w:r>
          </w:p>
          <w:p>
            <w:pPr>
              <w:widowControl/>
              <w:spacing w:line="360" w:lineRule="auto"/>
              <w:rPr>
                <w:rFonts w:ascii="仿宋" w:hAnsi="仿宋" w:eastAsia="仿宋" w:cs="仿宋"/>
                <w:kern w:val="0"/>
                <w:sz w:val="24"/>
                <w:szCs w:val="24"/>
              </w:rPr>
            </w:pPr>
          </w:p>
          <w:p>
            <w:pPr>
              <w:widowControl/>
              <w:spacing w:line="360" w:lineRule="auto"/>
              <w:rPr>
                <w:rFonts w:ascii="仿宋" w:hAnsi="仿宋" w:eastAsia="仿宋" w:cs="仿宋"/>
                <w:kern w:val="0"/>
                <w:sz w:val="24"/>
                <w:szCs w:val="24"/>
              </w:rPr>
            </w:pPr>
          </w:p>
          <w:p>
            <w:pPr>
              <w:widowControl/>
              <w:spacing w:line="360" w:lineRule="auto"/>
              <w:ind w:firstLine="4080" w:firstLineChars="1700"/>
              <w:rPr>
                <w:rFonts w:ascii="仿宋" w:hAnsi="仿宋" w:eastAsia="仿宋" w:cs="仿宋"/>
                <w:kern w:val="0"/>
                <w:sz w:val="24"/>
                <w:szCs w:val="24"/>
              </w:rPr>
            </w:pPr>
            <w:r>
              <w:rPr>
                <w:rFonts w:hint="eastAsia" w:ascii="仿宋" w:hAnsi="仿宋" w:eastAsia="仿宋" w:cs="仿宋"/>
                <w:kern w:val="0"/>
                <w:sz w:val="24"/>
                <w:szCs w:val="24"/>
              </w:rPr>
              <w:t>申请人：</w:t>
            </w:r>
          </w:p>
          <w:p>
            <w:pPr>
              <w:widowControl/>
              <w:spacing w:line="360" w:lineRule="auto"/>
              <w:ind w:firstLine="4560" w:firstLineChars="1900"/>
              <w:rPr>
                <w:rFonts w:ascii="仿宋" w:hAnsi="仿宋" w:eastAsia="仿宋" w:cs="仿宋"/>
                <w:kern w:val="0"/>
                <w:sz w:val="24"/>
                <w:szCs w:val="24"/>
              </w:rPr>
            </w:pPr>
            <w:r>
              <w:rPr>
                <w:rFonts w:hint="eastAsia" w:ascii="仿宋" w:hAnsi="仿宋" w:eastAsia="仿宋" w:cs="仿宋"/>
                <w:kern w:val="0"/>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jc w:val="center"/>
        </w:trPr>
        <w:tc>
          <w:tcPr>
            <w:tcW w:w="2038" w:type="dxa"/>
            <w:vAlign w:val="center"/>
          </w:tcPr>
          <w:p>
            <w:pPr>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辅导员意见</w:t>
            </w:r>
          </w:p>
        </w:tc>
        <w:tc>
          <w:tcPr>
            <w:tcW w:w="6340" w:type="dxa"/>
            <w:gridSpan w:val="3"/>
          </w:tcPr>
          <w:p>
            <w:pPr>
              <w:widowControl/>
              <w:spacing w:line="360" w:lineRule="auto"/>
              <w:ind w:firstLine="1449" w:firstLineChars="604"/>
              <w:rPr>
                <w:rFonts w:ascii="仿宋" w:hAnsi="仿宋" w:eastAsia="仿宋" w:cs="仿宋"/>
                <w:kern w:val="0"/>
                <w:sz w:val="24"/>
                <w:szCs w:val="24"/>
              </w:rPr>
            </w:pPr>
          </w:p>
          <w:p>
            <w:pPr>
              <w:widowControl/>
              <w:spacing w:line="360" w:lineRule="auto"/>
              <w:ind w:firstLine="1449" w:firstLineChars="604"/>
              <w:rPr>
                <w:rFonts w:ascii="仿宋" w:hAnsi="仿宋" w:eastAsia="仿宋" w:cs="仿宋"/>
                <w:kern w:val="0"/>
                <w:sz w:val="24"/>
                <w:szCs w:val="24"/>
              </w:rPr>
            </w:pPr>
          </w:p>
          <w:p>
            <w:pPr>
              <w:widowControl/>
              <w:spacing w:line="360" w:lineRule="auto"/>
              <w:ind w:firstLine="2404" w:firstLineChars="1002"/>
              <w:rPr>
                <w:rFonts w:ascii="仿宋" w:hAnsi="仿宋" w:eastAsia="仿宋" w:cs="仿宋"/>
                <w:kern w:val="0"/>
                <w:sz w:val="24"/>
                <w:szCs w:val="24"/>
              </w:rPr>
            </w:pPr>
            <w:r>
              <w:rPr>
                <w:rFonts w:hint="eastAsia" w:ascii="仿宋" w:hAnsi="仿宋" w:eastAsia="仿宋" w:cs="仿宋"/>
                <w:kern w:val="0"/>
                <w:sz w:val="24"/>
                <w:szCs w:val="24"/>
              </w:rPr>
              <w:t xml:space="preserve">             辅导员签名：</w:t>
            </w:r>
          </w:p>
          <w:p>
            <w:pPr>
              <w:spacing w:line="360" w:lineRule="auto"/>
              <w:ind w:firstLine="1449" w:firstLineChars="604"/>
              <w:rPr>
                <w:rFonts w:ascii="仿宋" w:hAnsi="仿宋" w:eastAsia="仿宋" w:cs="仿宋"/>
                <w:kern w:val="0"/>
                <w:sz w:val="24"/>
                <w:szCs w:val="24"/>
              </w:rPr>
            </w:pPr>
            <w:r>
              <w:rPr>
                <w:rFonts w:hint="eastAsia" w:ascii="仿宋" w:hAnsi="仿宋" w:eastAsia="仿宋" w:cs="仿宋"/>
                <w:kern w:val="0"/>
                <w:sz w:val="24"/>
                <w:szCs w:val="24"/>
              </w:rPr>
              <w:t xml:space="preserve">                         </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2038" w:type="dxa"/>
            <w:vAlign w:val="center"/>
          </w:tcPr>
          <w:p>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强基班导师意见</w:t>
            </w:r>
          </w:p>
        </w:tc>
        <w:tc>
          <w:tcPr>
            <w:tcW w:w="6340" w:type="dxa"/>
            <w:gridSpan w:val="3"/>
          </w:tcPr>
          <w:p>
            <w:pPr>
              <w:widowControl/>
              <w:spacing w:line="360" w:lineRule="auto"/>
              <w:rPr>
                <w:rFonts w:ascii="仿宋" w:hAnsi="仿宋" w:eastAsia="仿宋" w:cs="仿宋"/>
                <w:kern w:val="0"/>
                <w:sz w:val="24"/>
                <w:szCs w:val="24"/>
              </w:rPr>
            </w:pPr>
          </w:p>
          <w:p>
            <w:pPr>
              <w:widowControl/>
              <w:spacing w:line="360" w:lineRule="auto"/>
              <w:ind w:firstLine="1308" w:firstLineChars="545"/>
              <w:rPr>
                <w:rFonts w:ascii="仿宋" w:hAnsi="仿宋" w:eastAsia="仿宋" w:cs="仿宋"/>
                <w:kern w:val="0"/>
                <w:sz w:val="24"/>
                <w:szCs w:val="24"/>
              </w:rPr>
            </w:pPr>
            <w:r>
              <w:rPr>
                <w:rFonts w:hint="eastAsia" w:ascii="仿宋" w:hAnsi="仿宋" w:eastAsia="仿宋" w:cs="仿宋"/>
                <w:kern w:val="0"/>
                <w:sz w:val="24"/>
                <w:szCs w:val="24"/>
              </w:rPr>
              <w:t xml:space="preserve">                       导师签名：</w:t>
            </w:r>
          </w:p>
          <w:p>
            <w:pPr>
              <w:widowControl/>
              <w:spacing w:line="360" w:lineRule="auto"/>
              <w:ind w:firstLine="1308" w:firstLineChars="545"/>
              <w:rPr>
                <w:rFonts w:ascii="仿宋" w:hAnsi="仿宋" w:eastAsia="仿宋" w:cs="仿宋"/>
                <w:kern w:val="0"/>
                <w:sz w:val="24"/>
                <w:szCs w:val="24"/>
              </w:rPr>
            </w:pPr>
            <w:r>
              <w:rPr>
                <w:rFonts w:hint="eastAsia" w:ascii="仿宋" w:hAnsi="仿宋" w:eastAsia="仿宋" w:cs="仿宋"/>
                <w:kern w:val="0"/>
                <w:sz w:val="24"/>
                <w:szCs w:val="24"/>
              </w:rPr>
              <w:t xml:space="preserve">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2" w:hRule="atLeast"/>
          <w:jc w:val="center"/>
        </w:trPr>
        <w:tc>
          <w:tcPr>
            <w:tcW w:w="2038" w:type="dxa"/>
            <w:vAlign w:val="center"/>
          </w:tcPr>
          <w:p>
            <w:pPr>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班主任意见</w:t>
            </w:r>
          </w:p>
        </w:tc>
        <w:tc>
          <w:tcPr>
            <w:tcW w:w="6340" w:type="dxa"/>
            <w:gridSpan w:val="3"/>
          </w:tcPr>
          <w:p>
            <w:pPr>
              <w:spacing w:line="360" w:lineRule="auto"/>
              <w:ind w:firstLine="1449" w:firstLineChars="604"/>
              <w:rPr>
                <w:rFonts w:ascii="仿宋" w:hAnsi="仿宋" w:eastAsia="仿宋" w:cs="仿宋"/>
                <w:kern w:val="0"/>
                <w:sz w:val="24"/>
                <w:szCs w:val="24"/>
              </w:rPr>
            </w:pPr>
          </w:p>
          <w:p>
            <w:pPr>
              <w:spacing w:line="360" w:lineRule="auto"/>
              <w:ind w:firstLine="1449" w:firstLineChars="604"/>
              <w:rPr>
                <w:rFonts w:ascii="仿宋" w:hAnsi="仿宋" w:eastAsia="仿宋" w:cs="仿宋"/>
                <w:kern w:val="0"/>
                <w:sz w:val="24"/>
                <w:szCs w:val="24"/>
              </w:rPr>
            </w:pPr>
            <w:r>
              <w:rPr>
                <w:rFonts w:hint="eastAsia" w:ascii="仿宋" w:hAnsi="仿宋" w:eastAsia="仿宋" w:cs="仿宋"/>
                <w:kern w:val="0"/>
                <w:sz w:val="24"/>
                <w:szCs w:val="24"/>
              </w:rPr>
              <w:t xml:space="preserve">             </w:t>
            </w:r>
          </w:p>
          <w:p>
            <w:pPr>
              <w:spacing w:line="360" w:lineRule="auto"/>
              <w:ind w:firstLine="2884" w:firstLineChars="1202"/>
              <w:rPr>
                <w:rFonts w:ascii="仿宋" w:hAnsi="仿宋" w:eastAsia="仿宋" w:cs="仿宋"/>
                <w:kern w:val="0"/>
                <w:sz w:val="24"/>
                <w:szCs w:val="24"/>
              </w:rPr>
            </w:pPr>
            <w:r>
              <w:rPr>
                <w:rFonts w:hint="eastAsia" w:ascii="仿宋" w:hAnsi="仿宋" w:eastAsia="仿宋" w:cs="仿宋"/>
                <w:kern w:val="0"/>
                <w:sz w:val="24"/>
                <w:szCs w:val="24"/>
              </w:rPr>
              <w:t xml:space="preserve">          班主任签名：</w:t>
            </w:r>
          </w:p>
          <w:p>
            <w:pPr>
              <w:spacing w:line="360" w:lineRule="auto"/>
              <w:ind w:firstLine="1449" w:firstLineChars="604"/>
              <w:rPr>
                <w:rFonts w:ascii="仿宋" w:hAnsi="仿宋" w:eastAsia="仿宋" w:cs="仿宋"/>
                <w:kern w:val="0"/>
                <w:sz w:val="24"/>
                <w:szCs w:val="24"/>
              </w:rPr>
            </w:pPr>
            <w:r>
              <w:rPr>
                <w:rFonts w:hint="eastAsia" w:ascii="仿宋" w:hAnsi="仿宋" w:eastAsia="仿宋" w:cs="仿宋"/>
                <w:kern w:val="0"/>
                <w:sz w:val="24"/>
                <w:szCs w:val="24"/>
              </w:rPr>
              <w:t xml:space="preserve">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2038" w:type="dxa"/>
            <w:vAlign w:val="center"/>
          </w:tcPr>
          <w:p>
            <w:pPr>
              <w:spacing w:line="360" w:lineRule="auto"/>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学院教学院长</w:t>
            </w:r>
          </w:p>
          <w:p>
            <w:pPr>
              <w:spacing w:line="360" w:lineRule="auto"/>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意见</w:t>
            </w:r>
          </w:p>
        </w:tc>
        <w:tc>
          <w:tcPr>
            <w:tcW w:w="6340" w:type="dxa"/>
            <w:gridSpan w:val="3"/>
          </w:tcPr>
          <w:p>
            <w:pPr>
              <w:widowControl/>
              <w:spacing w:line="360" w:lineRule="auto"/>
              <w:rPr>
                <w:rFonts w:ascii="仿宋" w:hAnsi="仿宋" w:eastAsia="仿宋" w:cs="仿宋"/>
                <w:kern w:val="0"/>
                <w:sz w:val="24"/>
                <w:szCs w:val="24"/>
              </w:rPr>
            </w:pPr>
            <w:r>
              <w:rPr>
                <w:rFonts w:hint="eastAsia" w:ascii="仿宋" w:hAnsi="仿宋" w:eastAsia="仿宋" w:cs="仿宋"/>
                <w:kern w:val="0"/>
                <w:sz w:val="24"/>
                <w:szCs w:val="24"/>
              </w:rPr>
              <w:t xml:space="preserve">                        </w:t>
            </w:r>
          </w:p>
          <w:p>
            <w:pPr>
              <w:spacing w:line="360" w:lineRule="auto"/>
              <w:rPr>
                <w:rFonts w:ascii="仿宋" w:hAnsi="仿宋" w:eastAsia="仿宋" w:cs="仿宋"/>
                <w:kern w:val="0"/>
                <w:sz w:val="24"/>
                <w:szCs w:val="24"/>
              </w:rPr>
            </w:pPr>
          </w:p>
          <w:p>
            <w:pPr>
              <w:spacing w:line="360" w:lineRule="auto"/>
              <w:ind w:firstLine="4080" w:firstLineChars="170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签字盖章：</w:t>
            </w:r>
            <w:r>
              <w:rPr>
                <w:rFonts w:hint="eastAsia" w:ascii="仿宋" w:hAnsi="仿宋" w:eastAsia="仿宋" w:cs="仿宋"/>
                <w:kern w:val="0"/>
                <w:sz w:val="24"/>
                <w:szCs w:val="24"/>
              </w:rPr>
              <w:t xml:space="preserve">                                      </w:t>
            </w:r>
          </w:p>
          <w:p>
            <w:pPr>
              <w:spacing w:line="360" w:lineRule="auto"/>
              <w:ind w:firstLine="4560" w:firstLineChars="1900"/>
              <w:jc w:val="both"/>
              <w:rPr>
                <w:rFonts w:ascii="仿宋" w:hAnsi="仿宋" w:eastAsia="仿宋" w:cs="仿宋"/>
                <w:kern w:val="0"/>
                <w:sz w:val="24"/>
                <w:szCs w:val="24"/>
              </w:rPr>
            </w:pPr>
            <w:r>
              <w:rPr>
                <w:rFonts w:hint="eastAsia" w:ascii="仿宋" w:hAnsi="仿宋" w:eastAsia="仿宋" w:cs="仿宋"/>
                <w:kern w:val="0"/>
                <w:sz w:val="24"/>
                <w:szCs w:val="24"/>
              </w:rPr>
              <w:t>日期：</w:t>
            </w:r>
          </w:p>
        </w:tc>
      </w:tr>
    </w:tbl>
    <w:p>
      <w:pPr>
        <w:pStyle w:val="5"/>
        <w:numPr>
          <w:ilvl w:val="0"/>
          <w:numId w:val="0"/>
        </w:numPr>
        <w:rPr>
          <w:rFonts w:hint="default" w:ascii="仿宋" w:hAnsi="仿宋" w:eastAsia="仿宋" w:cs="仿宋"/>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3D9917DD-9C75-4E1C-BC50-DB971BA5EDCC}"/>
  </w:font>
  <w:font w:name="方正仿宋_GB2312">
    <w:panose1 w:val="02000000000000000000"/>
    <w:charset w:val="86"/>
    <w:family w:val="auto"/>
    <w:pitch w:val="default"/>
    <w:sig w:usb0="A00002BF" w:usb1="184F6CFA" w:usb2="00000012" w:usb3="00000000" w:csb0="00040001" w:csb1="00000000"/>
    <w:embedRegular r:id="rId2" w:fontKey="{62E1A284-1CE7-4861-88E7-A60E8EA514E4}"/>
  </w:font>
  <w:font w:name="FangSong_GB2312">
    <w:altName w:val="仿宋"/>
    <w:panose1 w:val="020B0604020202020204"/>
    <w:charset w:val="86"/>
    <w:family w:val="auto"/>
    <w:pitch w:val="default"/>
    <w:sig w:usb0="00000000" w:usb1="00000000" w:usb2="00000000" w:usb3="00000000" w:csb0="00000000" w:csb1="00000000"/>
    <w:embedRegular r:id="rId3" w:fontKey="{3BF25D57-9242-47F6-A8EC-7B59FF9A27CB}"/>
  </w:font>
  <w:font w:name="方正小标宋简体">
    <w:panose1 w:val="02000000000000000000"/>
    <w:charset w:val="86"/>
    <w:family w:val="script"/>
    <w:pitch w:val="default"/>
    <w:sig w:usb0="A00002BF" w:usb1="184F6CFA" w:usb2="00000012" w:usb3="00000000" w:csb0="00040001" w:csb1="00000000"/>
    <w:embedRegular r:id="rId4" w:fontKey="{BF5E253D-94A4-491C-B924-159A2F6F1EA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NzQzZjUyN2MzYmRiYmRkMWEyY2UxZDJjNjEwM2MifQ=="/>
  </w:docVars>
  <w:rsids>
    <w:rsidRoot w:val="002255AD"/>
    <w:rsid w:val="002255AD"/>
    <w:rsid w:val="0022562C"/>
    <w:rsid w:val="002542C2"/>
    <w:rsid w:val="00261438"/>
    <w:rsid w:val="00333DCF"/>
    <w:rsid w:val="0034175F"/>
    <w:rsid w:val="004D382B"/>
    <w:rsid w:val="004E0D66"/>
    <w:rsid w:val="005128DD"/>
    <w:rsid w:val="005C0821"/>
    <w:rsid w:val="00637AED"/>
    <w:rsid w:val="006B3053"/>
    <w:rsid w:val="006B64BD"/>
    <w:rsid w:val="0072115D"/>
    <w:rsid w:val="007B5615"/>
    <w:rsid w:val="00854512"/>
    <w:rsid w:val="00880345"/>
    <w:rsid w:val="0088794C"/>
    <w:rsid w:val="008E432A"/>
    <w:rsid w:val="00926FF7"/>
    <w:rsid w:val="00A23854"/>
    <w:rsid w:val="00B32F83"/>
    <w:rsid w:val="00C344CE"/>
    <w:rsid w:val="00C953B3"/>
    <w:rsid w:val="00CF26A4"/>
    <w:rsid w:val="00D03681"/>
    <w:rsid w:val="00D4099F"/>
    <w:rsid w:val="00DB132C"/>
    <w:rsid w:val="00DC6635"/>
    <w:rsid w:val="00E41D95"/>
    <w:rsid w:val="00E67D2A"/>
    <w:rsid w:val="00E70671"/>
    <w:rsid w:val="038A544C"/>
    <w:rsid w:val="09BE119D"/>
    <w:rsid w:val="19F0379E"/>
    <w:rsid w:val="1FE00C61"/>
    <w:rsid w:val="400C5C5F"/>
    <w:rsid w:val="5EBC6626"/>
    <w:rsid w:val="62AD2481"/>
    <w:rsid w:val="6A307707"/>
    <w:rsid w:val="6D9D0F6C"/>
    <w:rsid w:val="79097CA3"/>
    <w:rsid w:val="79BC2CBA"/>
    <w:rsid w:val="7FA90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keepNext/>
      <w:keepLines/>
      <w:spacing w:before="340" w:after="330" w:line="576" w:lineRule="auto"/>
      <w:outlineLvl w:val="0"/>
    </w:pPr>
    <w:rPr>
      <w:b/>
      <w:kern w:val="44"/>
      <w:sz w:val="44"/>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style>
  <w:style w:type="table" w:customStyle="1" w:styleId="6">
    <w:name w:val="网格型1"/>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1279</Words>
  <Characters>1381</Characters>
  <Lines>5</Lines>
  <Paragraphs>1</Paragraphs>
  <TotalTime>35</TotalTime>
  <ScaleCrop>false</ScaleCrop>
  <LinksUpToDate>false</LinksUpToDate>
  <CharactersWithSpaces>1583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2023-03-08T06:31:00Z</dcterms:created>
  <dc:creator>admin</dc:creator>
  <cp:lastModifiedBy>杜雅倩</cp:lastModifiedBy>
  <dcterms:modified xsi:type="dcterms:W3CDTF">2024-04-07T03:02:42Z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01FCD172D757404299C4422C096820FE</vt:lpwstr>
  </property>
</Properties>
</file>