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26D15" w:rsidRDefault="00A26D15">
      <w:pPr>
        <w:rPr>
          <w:rFonts w:hint="eastAsia"/>
        </w:rPr>
      </w:pPr>
    </w:p>
    <w:p w:rsidR="009B264E" w:rsidRPr="000069E3" w:rsidRDefault="00A26D15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72B95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Structure-Preserving Numerical Methods for Nonlinear Fokker--Planck Equations with Nonlocal Interactions by an Energetic Variational Approach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A26D15" w:rsidRPr="00A26D15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Chenghua Duan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 w:hint="eastAsia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Fri,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A26D15">
        <w:rPr>
          <w:rFonts w:ascii="Times New Roman" w:hAnsi="Times New Roman"/>
          <w:b/>
          <w:color w:val="00B0F0"/>
          <w:kern w:val="0"/>
          <w:sz w:val="30"/>
          <w:szCs w:val="30"/>
        </w:rPr>
        <w:t>6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A26D15">
        <w:rPr>
          <w:rFonts w:ascii="Times New Roman" w:hAnsi="Times New Roman"/>
          <w:b/>
          <w:color w:val="00B0F0"/>
          <w:kern w:val="0"/>
          <w:sz w:val="30"/>
          <w:szCs w:val="30"/>
        </w:rPr>
        <w:t>13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:30-1</w:t>
      </w:r>
      <w:r w:rsidR="00A26D15">
        <w:rPr>
          <w:rFonts w:ascii="Times New Roman" w:hAnsi="Times New Roman"/>
          <w:b/>
          <w:color w:val="00B0F0"/>
          <w:kern w:val="0"/>
          <w:sz w:val="30"/>
          <w:szCs w:val="30"/>
        </w:rPr>
        <w:t>4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bookmarkStart w:id="0" w:name="_GoBack"/>
      <w:bookmarkEnd w:id="0"/>
    </w:p>
    <w:p w:rsidR="009B264E" w:rsidRPr="009B264E" w:rsidRDefault="00082BEB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</w:t>
      </w:r>
      <w:r w:rsidR="00A26D15" w:rsidRPr="00A26D15">
        <w:rPr>
          <w:rFonts w:ascii="Times New Roman" w:hAnsi="Times New Roman"/>
          <w:b/>
          <w:color w:val="00B0F0"/>
          <w:kern w:val="0"/>
          <w:sz w:val="30"/>
          <w:szCs w:val="30"/>
        </w:rPr>
        <w:t>Room 2213, East Main Guanghua Tower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 w:hint="eastAsia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A7268D" w:rsidRPr="009B264E" w:rsidRDefault="00A26D15" w:rsidP="00A26D15">
      <w:pPr>
        <w:spacing w:line="440" w:lineRule="exact"/>
        <w:rPr>
          <w:sz w:val="28"/>
          <w:szCs w:val="28"/>
        </w:rPr>
      </w:pPr>
      <w:r w:rsidRPr="00172B95">
        <w:rPr>
          <w:rFonts w:ascii="Times New Roman" w:hAnsi="Times New Roman"/>
          <w:color w:val="000000"/>
          <w:sz w:val="30"/>
          <w:szCs w:val="30"/>
        </w:rPr>
        <w:t>We consider a class of nonlinear nonlocal Fokker-Planck type equations. The solution of the system is expected to satisfy three features: positivity, the conservation of mass and the energy dissipation law. In this</w:t>
      </w:r>
      <w:r>
        <w:rPr>
          <w:rFonts w:ascii="Times New Roman" w:hAnsi="Times New Roman"/>
          <w:color w:val="000000"/>
          <w:sz w:val="30"/>
          <w:szCs w:val="30"/>
        </w:rPr>
        <w:t xml:space="preserve"> talk</w:t>
      </w:r>
      <w:r w:rsidRPr="00172B95">
        <w:rPr>
          <w:rFonts w:ascii="Times New Roman" w:hAnsi="Times New Roman"/>
          <w:color w:val="000000"/>
          <w:sz w:val="30"/>
          <w:szCs w:val="30"/>
        </w:rPr>
        <w:t xml:space="preserve">, based on an energetic variational approach, a force balance between the least action principle and the maximum dissipation principle, the trajectory equation of the system can be obtained. Then by the convex splitting scheme, a numerical scheme can </w:t>
      </w:r>
      <w:r>
        <w:rPr>
          <w:rFonts w:ascii="Times New Roman" w:hAnsi="Times New Roman"/>
          <w:color w:val="000000"/>
          <w:sz w:val="30"/>
          <w:szCs w:val="30"/>
        </w:rPr>
        <w:t xml:space="preserve">be </w:t>
      </w:r>
      <w:r w:rsidRPr="00172B95">
        <w:rPr>
          <w:rFonts w:ascii="Times New Roman" w:hAnsi="Times New Roman"/>
          <w:color w:val="000000"/>
          <w:sz w:val="30"/>
          <w:szCs w:val="30"/>
        </w:rPr>
        <w:t>establish</w:t>
      </w:r>
      <w:r>
        <w:rPr>
          <w:rFonts w:ascii="Times New Roman" w:hAnsi="Times New Roman"/>
          <w:color w:val="000000"/>
          <w:sz w:val="30"/>
          <w:szCs w:val="30"/>
        </w:rPr>
        <w:t>ed,</w:t>
      </w:r>
      <w:r w:rsidRPr="00172B95">
        <w:rPr>
          <w:rFonts w:ascii="Times New Roman" w:hAnsi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/>
          <w:color w:val="000000"/>
          <w:sz w:val="30"/>
          <w:szCs w:val="30"/>
        </w:rPr>
        <w:t xml:space="preserve">which </w:t>
      </w:r>
      <w:r w:rsidRPr="00172B95">
        <w:rPr>
          <w:rFonts w:ascii="Times New Roman" w:hAnsi="Times New Roman"/>
          <w:color w:val="000000"/>
          <w:sz w:val="30"/>
          <w:szCs w:val="30"/>
        </w:rPr>
        <w:t xml:space="preserve">can preserve the positivity of the solution and the conservation of mass naturally. Moreover, </w:t>
      </w:r>
      <w:r>
        <w:rPr>
          <w:rFonts w:ascii="Times New Roman" w:hAnsi="Times New Roman"/>
          <w:color w:val="000000"/>
          <w:sz w:val="30"/>
          <w:szCs w:val="30"/>
        </w:rPr>
        <w:t>a</w:t>
      </w:r>
      <w:r w:rsidRPr="00350007">
        <w:rPr>
          <w:rFonts w:ascii="Times New Roman" w:hAnsi="Times New Roman"/>
          <w:color w:val="000000"/>
          <w:sz w:val="30"/>
          <w:szCs w:val="30"/>
        </w:rPr>
        <w:t xml:space="preserve">nalysis </w:t>
      </w:r>
      <w:r>
        <w:rPr>
          <w:rFonts w:ascii="Times New Roman" w:hAnsi="Times New Roman"/>
          <w:color w:val="000000"/>
          <w:sz w:val="30"/>
          <w:szCs w:val="30"/>
        </w:rPr>
        <w:t>r</w:t>
      </w:r>
      <w:r w:rsidRPr="00350007">
        <w:rPr>
          <w:rFonts w:ascii="Times New Roman" w:hAnsi="Times New Roman"/>
          <w:color w:val="000000"/>
          <w:sz w:val="30"/>
          <w:szCs w:val="30"/>
        </w:rPr>
        <w:t>esults</w:t>
      </w:r>
      <w:r>
        <w:rPr>
          <w:rFonts w:ascii="Times New Roman" w:hAnsi="Times New Roman"/>
          <w:color w:val="000000"/>
          <w:sz w:val="30"/>
          <w:szCs w:val="30"/>
        </w:rPr>
        <w:t xml:space="preserve"> of the scheme can be given. </w:t>
      </w:r>
      <w:r w:rsidRPr="00172B95">
        <w:rPr>
          <w:rFonts w:ascii="Times New Roman" w:hAnsi="Times New Roman"/>
          <w:color w:val="000000"/>
          <w:sz w:val="30"/>
          <w:szCs w:val="30"/>
        </w:rPr>
        <w:t xml:space="preserve">The </w:t>
      </w:r>
      <w:r>
        <w:rPr>
          <w:rFonts w:ascii="Times New Roman" w:hAnsi="Times New Roman"/>
          <w:color w:val="000000"/>
          <w:sz w:val="30"/>
          <w:szCs w:val="30"/>
        </w:rPr>
        <w:t xml:space="preserve">remarkable advantage is </w:t>
      </w:r>
      <w:r w:rsidRPr="00172B95">
        <w:rPr>
          <w:rFonts w:ascii="Times New Roman" w:hAnsi="Times New Roman"/>
          <w:color w:val="000000"/>
          <w:sz w:val="30"/>
          <w:szCs w:val="30"/>
        </w:rPr>
        <w:t>dealing with the nonlinear mobility naturally, catching the blow-up solution at a machine precise over any equidistant grid and predicting the possible waiting time phenomenon.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6A9F" w:rsidRDefault="006B6A9F" w:rsidP="0032528A">
      <w:r>
        <w:separator/>
      </w:r>
    </w:p>
  </w:endnote>
  <w:endnote w:type="continuationSeparator" w:id="0">
    <w:p w:rsidR="006B6A9F" w:rsidRDefault="006B6A9F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6A9F" w:rsidRDefault="006B6A9F" w:rsidP="0032528A">
      <w:r>
        <w:separator/>
      </w:r>
    </w:p>
  </w:footnote>
  <w:footnote w:type="continuationSeparator" w:id="0">
    <w:p w:rsidR="006B6A9F" w:rsidRDefault="006B6A9F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32528A"/>
    <w:rsid w:val="006B6A9F"/>
    <w:rsid w:val="009B264E"/>
    <w:rsid w:val="00A26D15"/>
    <w:rsid w:val="00A7268D"/>
    <w:rsid w:val="00AE6A18"/>
    <w:rsid w:val="00B86719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2019-12-04T01:45:00Z</dcterms:created>
  <dcterms:modified xsi:type="dcterms:W3CDTF">2019-12-04T02:10:00Z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