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Extremal density for sparse minors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subdivisions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Jaehoon Kim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Korea Advanced Institute of S</w:t>
      </w:r>
      <w:bookmarkStart w:id="0" w:name="_GoBack"/>
      <w:bookmarkEnd w:id="0"/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cience and Technology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Time: Thur, Sep 10th, 15:00 - 16:00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Zoom meeting ID: 664 147 40654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Password: 121323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Link: https://zoom.com.cn/j/66414740654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We prove an asymptotically tight bound on the extremal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density guaranteeing subdivisions of bounded-degree bipartite graphs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with a separability condition. As corollaries, we answered several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questions of Reed and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Wood on embedding sparse minors. In particular,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we prove that a graph with average degree (3/2+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o</w:t>
      </w:r>
      <w:r>
        <w:rPr>
          <w:rFonts w:hint="eastAsia" w:ascii="Times New Roman" w:hAnsi="Times New Roman"/>
          <w:color w:val="000000"/>
          <w:sz w:val="28"/>
          <w:szCs w:val="28"/>
        </w:rPr>
        <w:t>(1))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t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contains every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t</w:t>
      </w:r>
      <w:r>
        <w:rPr>
          <w:rFonts w:hint="eastAsia" w:ascii="Times New Roman" w:hAnsi="Times New Roman"/>
          <w:color w:val="000000"/>
          <w:sz w:val="28"/>
          <w:szCs w:val="28"/>
        </w:rPr>
        <w:t>-vertex planar graph as a minor and this constant 3/2 is best possible.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This is joint work with John Haslegrave and Hong Liu.</w:t>
      </w: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eXGyreTermes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82B4F38"/>
    <w:rsid w:val="456209B1"/>
    <w:rsid w:val="4E41220F"/>
    <w:rsid w:val="5966161E"/>
    <w:rsid w:val="619D6189"/>
    <w:rsid w:val="64F22A3D"/>
    <w:rsid w:val="67206F32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71</TotalTime>
  <ScaleCrop>false</ScaleCrop>
  <LinksUpToDate>false</LinksUpToDate>
  <CharactersWithSpaces>1363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赵晓婷</cp:lastModifiedBy>
  <dcterms:modified xsi:type="dcterms:W3CDTF">2020-09-07T02:23:48Z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